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70E5C" w14:textId="7FA5A428" w:rsidR="00DD6F13" w:rsidRPr="003C4BF1" w:rsidRDefault="00DD6F13" w:rsidP="00DD6F13">
      <w:pPr>
        <w:pStyle w:val="a3"/>
        <w:tabs>
          <w:tab w:val="right" w:pos="9639"/>
        </w:tabs>
        <w:rPr>
          <w:rFonts w:eastAsia="MS Mincho"/>
          <w:noProof w:val="0"/>
          <w:sz w:val="24"/>
          <w:szCs w:val="24"/>
          <w:lang w:val="en-GB" w:eastAsia="en-GB"/>
        </w:rPr>
      </w:pPr>
      <w:r w:rsidRPr="003C4BF1">
        <w:rPr>
          <w:rFonts w:eastAsia="MS Mincho"/>
          <w:noProof w:val="0"/>
          <w:sz w:val="24"/>
          <w:szCs w:val="24"/>
          <w:lang w:val="en-GB" w:eastAsia="en-GB"/>
        </w:rPr>
        <w:t>3GPP TSG-RAN WG2 Meeting #121</w:t>
      </w:r>
      <w:r w:rsidRPr="003C4BF1">
        <w:rPr>
          <w:rFonts w:eastAsia="MS Mincho"/>
          <w:noProof w:val="0"/>
          <w:sz w:val="24"/>
          <w:szCs w:val="24"/>
          <w:lang w:val="en-GB" w:eastAsia="en-GB"/>
        </w:rPr>
        <w:tab/>
      </w:r>
      <w:r w:rsidR="00B46F6F" w:rsidRPr="00B46F6F">
        <w:rPr>
          <w:rFonts w:eastAsia="MS Mincho"/>
          <w:noProof w:val="0"/>
          <w:sz w:val="24"/>
          <w:szCs w:val="24"/>
          <w:lang w:val="en-GB" w:eastAsia="en-GB"/>
        </w:rPr>
        <w:t>R2-230098</w:t>
      </w:r>
      <w:r w:rsidR="00B46F6F">
        <w:rPr>
          <w:rFonts w:eastAsia="MS Mincho"/>
          <w:noProof w:val="0"/>
          <w:sz w:val="24"/>
          <w:szCs w:val="24"/>
          <w:lang w:val="en-GB" w:eastAsia="en-GB"/>
        </w:rPr>
        <w:t>3</w:t>
      </w:r>
    </w:p>
    <w:p w14:paraId="4AA29EF9" w14:textId="5238253A" w:rsidR="00934AFD" w:rsidRPr="001C7FAA" w:rsidRDefault="00DD6F13" w:rsidP="00DD6F13">
      <w:pPr>
        <w:pStyle w:val="a3"/>
        <w:tabs>
          <w:tab w:val="right" w:pos="9639"/>
        </w:tabs>
        <w:jc w:val="both"/>
        <w:rPr>
          <w:rFonts w:cs="Arial"/>
          <w:b w:val="0"/>
          <w:bCs/>
          <w:i/>
          <w:iCs/>
          <w:sz w:val="24"/>
          <w:lang w:eastAsia="zh-CN"/>
        </w:rPr>
      </w:pPr>
      <w:r w:rsidRPr="003C4BF1">
        <w:rPr>
          <w:rFonts w:eastAsia="MS Mincho"/>
          <w:noProof w:val="0"/>
          <w:sz w:val="24"/>
          <w:szCs w:val="24"/>
          <w:lang w:val="en-GB" w:eastAsia="en-GB"/>
        </w:rPr>
        <w:t>Athens, Greece, February-March 202</w:t>
      </w:r>
      <w:r w:rsidR="00E3217A">
        <w:rPr>
          <w:rFonts w:eastAsia="MS Mincho"/>
          <w:noProof w:val="0"/>
          <w:sz w:val="24"/>
          <w:szCs w:val="24"/>
          <w:lang w:val="en-GB" w:eastAsia="en-GB"/>
        </w:rPr>
        <w:t>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41375B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64E591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D6F13" w:rsidRPr="00DD6F13">
        <w:rPr>
          <w:rFonts w:ascii="Arial" w:hAnsi="Arial" w:cs="Arial"/>
          <w:b/>
          <w:bCs/>
          <w:sz w:val="24"/>
        </w:rPr>
        <w:t>IDLE mobility regarding NTN moving cells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DB0F6C5" w:rsidR="00D564BF" w:rsidRPr="00C34317" w:rsidRDefault="00D6055D" w:rsidP="000B6AD1">
      <w:pPr>
        <w:rPr>
          <w:rFonts w:ascii="Times New Roman" w:hAnsi="Times New Roman"/>
          <w:sz w:val="22"/>
        </w:rPr>
      </w:pPr>
      <w:r w:rsidRPr="00C34317">
        <w:rPr>
          <w:rFonts w:ascii="Times New Roman" w:hAnsi="Times New Roman" w:hint="eastAsia"/>
          <w:sz w:val="22"/>
        </w:rPr>
        <w:t>T</w:t>
      </w:r>
      <w:r w:rsidRPr="00C34317">
        <w:rPr>
          <w:rFonts w:ascii="Times New Roman" w:hAnsi="Times New Roman"/>
          <w:sz w:val="22"/>
        </w:rPr>
        <w:t>he latest RAN2#119</w:t>
      </w:r>
      <w:r w:rsidR="001F6294" w:rsidRPr="00C34317">
        <w:rPr>
          <w:rFonts w:ascii="Times New Roman" w:hAnsi="Times New Roman" w:hint="eastAsia"/>
          <w:sz w:val="22"/>
        </w:rPr>
        <w:t>bis</w:t>
      </w:r>
      <w:r w:rsidRPr="00C34317">
        <w:rPr>
          <w:rFonts w:ascii="Times New Roman" w:hAnsi="Times New Roman"/>
          <w:sz w:val="22"/>
        </w:rPr>
        <w:t xml:space="preserve"> meeting made the following agreements regarding IDLE/INACTIVE mobility</w:t>
      </w:r>
      <w:r w:rsidR="001F6294" w:rsidRPr="00C34317">
        <w:rPr>
          <w:rFonts w:ascii="Times New Roman" w:hAnsi="Times New Roman"/>
          <w:sz w:val="22"/>
        </w:rPr>
        <w:t xml:space="preserve"> </w:t>
      </w:r>
      <w:r w:rsidR="00284C5B" w:rsidRPr="00C34317">
        <w:rPr>
          <w:rFonts w:ascii="Times New Roman" w:hAnsi="Times New Roman" w:hint="eastAsia"/>
          <w:sz w:val="22"/>
        </w:rPr>
        <w:t>for</w:t>
      </w:r>
      <w:r w:rsidR="00284C5B" w:rsidRPr="00C34317">
        <w:rPr>
          <w:rFonts w:ascii="Times New Roman" w:hAnsi="Times New Roman"/>
          <w:sz w:val="22"/>
        </w:rPr>
        <w:t xml:space="preserve"> </w:t>
      </w:r>
      <w:r w:rsidR="00284C5B" w:rsidRPr="00C34317">
        <w:rPr>
          <w:rFonts w:ascii="Times New Roman" w:hAnsi="Times New Roman" w:hint="eastAsia"/>
          <w:sz w:val="22"/>
        </w:rPr>
        <w:t>moving</w:t>
      </w:r>
      <w:r w:rsidR="00284C5B" w:rsidRPr="00C34317">
        <w:rPr>
          <w:rFonts w:ascii="Times New Roman" w:hAnsi="Times New Roman"/>
          <w:sz w:val="22"/>
        </w:rPr>
        <w:t xml:space="preserve"> </w:t>
      </w:r>
      <w:r w:rsidR="00284C5B" w:rsidRPr="00C34317">
        <w:rPr>
          <w:rFonts w:ascii="Times New Roman" w:hAnsi="Times New Roman" w:hint="eastAsia"/>
          <w:sz w:val="22"/>
        </w:rPr>
        <w:t>cells</w:t>
      </w:r>
      <w:r w:rsidR="00284C5B" w:rsidRPr="00C34317">
        <w:rPr>
          <w:rFonts w:ascii="Times New Roman" w:hAnsi="Times New Roman"/>
          <w:sz w:val="22"/>
        </w:rPr>
        <w:t xml:space="preserve"> </w:t>
      </w:r>
      <w:r w:rsidR="001F6294" w:rsidRPr="00C34317">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C34317" w14:paraId="4A913ABB" w14:textId="77777777" w:rsidTr="009B4F09">
        <w:tc>
          <w:tcPr>
            <w:tcW w:w="9629" w:type="dxa"/>
          </w:tcPr>
          <w:p w14:paraId="4DD3EB88" w14:textId="704E66CE" w:rsidR="001F6294" w:rsidRPr="00C34317" w:rsidRDefault="001F6294" w:rsidP="001F6294">
            <w:pPr>
              <w:pStyle w:val="a6"/>
              <w:numPr>
                <w:ilvl w:val="0"/>
                <w:numId w:val="13"/>
              </w:numPr>
              <w:spacing w:after="0"/>
              <w:ind w:firstLineChars="0"/>
              <w:rPr>
                <w:bCs/>
                <w:sz w:val="22"/>
                <w:szCs w:val="22"/>
              </w:rPr>
            </w:pPr>
            <w:r w:rsidRPr="00C34317">
              <w:rPr>
                <w:bCs/>
                <w:sz w:val="22"/>
                <w:szCs w:val="22"/>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4AE12825" w14:textId="77777777" w:rsidR="001F6294" w:rsidRPr="00C34317" w:rsidRDefault="001F6294" w:rsidP="001F6294">
            <w:pPr>
              <w:pStyle w:val="a6"/>
              <w:numPr>
                <w:ilvl w:val="0"/>
                <w:numId w:val="13"/>
              </w:numPr>
              <w:spacing w:after="0"/>
              <w:ind w:firstLineChars="0"/>
              <w:rPr>
                <w:bCs/>
                <w:sz w:val="22"/>
                <w:szCs w:val="22"/>
              </w:rPr>
            </w:pPr>
            <w:r w:rsidRPr="00C34317">
              <w:rPr>
                <w:bCs/>
                <w:sz w:val="22"/>
                <w:szCs w:val="22"/>
              </w:rPr>
              <w:t>System information is the basic means for providing necessary parameters to assist UE to estimate when the serving cell stops providing coverage at the present UE location.</w:t>
            </w:r>
          </w:p>
          <w:p w14:paraId="73316F8C" w14:textId="26C8957C" w:rsidR="00F145B5" w:rsidRPr="00C34317" w:rsidRDefault="001F6294" w:rsidP="00284C5B">
            <w:pPr>
              <w:pStyle w:val="a6"/>
              <w:numPr>
                <w:ilvl w:val="0"/>
                <w:numId w:val="13"/>
              </w:numPr>
              <w:spacing w:after="0"/>
              <w:ind w:firstLineChars="0"/>
              <w:rPr>
                <w:bCs/>
                <w:sz w:val="22"/>
                <w:szCs w:val="22"/>
              </w:rPr>
            </w:pPr>
            <w:r w:rsidRPr="00C34317">
              <w:rPr>
                <w:bCs/>
                <w:sz w:val="22"/>
                <w:szCs w:val="22"/>
              </w:rPr>
              <w:t xml:space="preserve">In </w:t>
            </w:r>
            <w:r w:rsidR="00954892" w:rsidRPr="00C34317">
              <w:rPr>
                <w:bCs/>
                <w:sz w:val="22"/>
                <w:szCs w:val="22"/>
              </w:rPr>
              <w:t>earth-moving</w:t>
            </w:r>
            <w:r w:rsidRPr="00C34317">
              <w:rPr>
                <w:bCs/>
                <w:sz w:val="22"/>
                <w:szCs w:val="22"/>
              </w:rPr>
              <w:t xml:space="preserve">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6DA7073D" w14:textId="1220F263" w:rsidR="009B4F09" w:rsidRPr="00C34317" w:rsidRDefault="009B4F09" w:rsidP="000B6AD1">
      <w:pPr>
        <w:rPr>
          <w:rFonts w:ascii="Times New Roman" w:hAnsi="Times New Roman"/>
          <w:sz w:val="22"/>
        </w:rPr>
      </w:pPr>
      <w:r w:rsidRPr="00C34317">
        <w:rPr>
          <w:rFonts w:ascii="Times New Roman" w:hAnsi="Times New Roman" w:hint="eastAsia"/>
          <w:sz w:val="22"/>
        </w:rPr>
        <w:t>I</w:t>
      </w:r>
      <w:r w:rsidRPr="00C34317">
        <w:rPr>
          <w:rFonts w:ascii="Times New Roman" w:hAnsi="Times New Roman"/>
          <w:sz w:val="22"/>
        </w:rPr>
        <w:t xml:space="preserve">n this contribution we </w:t>
      </w:r>
      <w:r w:rsidR="00D6055D" w:rsidRPr="00C34317">
        <w:rPr>
          <w:rFonts w:ascii="Times New Roman" w:hAnsi="Times New Roman"/>
          <w:sz w:val="22"/>
        </w:rPr>
        <w:t>further discuss</w:t>
      </w:r>
      <w:r w:rsidR="00E37423" w:rsidRPr="00C34317">
        <w:rPr>
          <w:rFonts w:ascii="Times New Roman" w:hAnsi="Times New Roman"/>
          <w:sz w:val="22"/>
        </w:rPr>
        <w:t xml:space="preserve"> </w:t>
      </w:r>
      <w:r w:rsidR="00284C5B" w:rsidRPr="00C34317">
        <w:rPr>
          <w:rFonts w:ascii="Times New Roman" w:hAnsi="Times New Roman" w:hint="eastAsia"/>
          <w:sz w:val="22"/>
        </w:rPr>
        <w:t>potential</w:t>
      </w:r>
      <w:r w:rsidR="00284C5B" w:rsidRPr="00C34317">
        <w:rPr>
          <w:rFonts w:ascii="Times New Roman" w:hAnsi="Times New Roman"/>
          <w:sz w:val="22"/>
        </w:rPr>
        <w:t xml:space="preserve"> </w:t>
      </w:r>
      <w:r w:rsidR="00284C5B" w:rsidRPr="00C34317">
        <w:rPr>
          <w:rFonts w:ascii="Times New Roman" w:hAnsi="Times New Roman" w:hint="eastAsia"/>
          <w:sz w:val="22"/>
        </w:rPr>
        <w:t>solutions</w:t>
      </w:r>
      <w:r w:rsidR="00340E9D" w:rsidRPr="00C34317">
        <w:rPr>
          <w:rFonts w:ascii="Times New Roman" w:hAnsi="Times New Roman"/>
          <w:sz w:val="22"/>
        </w:rPr>
        <w:t xml:space="preserve"> </w:t>
      </w:r>
      <w:r w:rsidR="00370B31" w:rsidRPr="00C34317">
        <w:rPr>
          <w:rFonts w:ascii="Times New Roman" w:hAnsi="Times New Roman"/>
          <w:sz w:val="22"/>
        </w:rPr>
        <w:t xml:space="preserve">for </w:t>
      </w:r>
      <w:r w:rsidR="00284C5B" w:rsidRPr="00C34317">
        <w:rPr>
          <w:rFonts w:ascii="Times New Roman" w:hAnsi="Times New Roman"/>
          <w:sz w:val="22"/>
        </w:rPr>
        <w:t xml:space="preserve">IDLE/INACTIVE mobility </w:t>
      </w:r>
      <w:r w:rsidR="00284C5B" w:rsidRPr="00C34317">
        <w:rPr>
          <w:rFonts w:ascii="Times New Roman" w:hAnsi="Times New Roman" w:hint="eastAsia"/>
          <w:sz w:val="22"/>
        </w:rPr>
        <w:t>of</w:t>
      </w:r>
      <w:r w:rsidR="00284C5B" w:rsidRPr="00C34317">
        <w:rPr>
          <w:rFonts w:ascii="Times New Roman" w:hAnsi="Times New Roman"/>
          <w:sz w:val="22"/>
        </w:rPr>
        <w:t xml:space="preserve"> moving cells.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4598E50" w14:textId="77777777" w:rsidR="00E23AF1" w:rsidRPr="00C34317" w:rsidRDefault="00E23AF1" w:rsidP="00E23AF1">
      <w:pPr>
        <w:rPr>
          <w:rFonts w:ascii="Times New Roman" w:hAnsi="Times New Roman"/>
          <w:sz w:val="22"/>
        </w:rPr>
      </w:pPr>
      <w:r w:rsidRPr="00C34317">
        <w:rPr>
          <w:rFonts w:ascii="Times New Roman" w:hAnsi="Times New Roman"/>
          <w:sz w:val="22"/>
        </w:rPr>
        <w:t>In Rel-17 NR NTN enhancements including time-based and distance-based neighbour cell measurement triggering to quasi-earth-fixed cells were discussed and specified. For the earth-moving cell which is different from the quasi-earth-fixed cell in cell movement, there are some new issues in IDLE/INACTIVE mode mobility.</w:t>
      </w:r>
    </w:p>
    <w:p w14:paraId="7AB5421D" w14:textId="6CF8A7F2" w:rsidR="00E23AF1" w:rsidRPr="00C34317" w:rsidRDefault="00E23AF1" w:rsidP="00E23AF1">
      <w:pPr>
        <w:rPr>
          <w:rFonts w:ascii="Times New Roman" w:hAnsi="Times New Roman"/>
          <w:sz w:val="22"/>
        </w:rPr>
      </w:pPr>
      <w:r w:rsidRPr="00C34317">
        <w:rPr>
          <w:rFonts w:ascii="Times New Roman" w:hAnsi="Times New Roman"/>
          <w:sz w:val="22"/>
        </w:rPr>
        <w:t xml:space="preserve">In Rel-17 NR NTN, quasi-earth-fixed cell stop serving time </w:t>
      </w:r>
      <w:r w:rsidRPr="00C34317">
        <w:rPr>
          <w:rFonts w:ascii="Times New Roman" w:hAnsi="Times New Roman"/>
          <w:i/>
          <w:iCs/>
          <w:sz w:val="22"/>
        </w:rPr>
        <w:t>t-Service</w:t>
      </w:r>
      <w:r w:rsidRPr="00C34317">
        <w:rPr>
          <w:rFonts w:ascii="Times New Roman" w:hAnsi="Times New Roman"/>
          <w:sz w:val="22"/>
        </w:rPr>
        <w:t xml:space="preserve"> is broadcast in SIB19, which is cell-specific and is common for all UEs in the cell. For an earth-moving cell with different serving duration for different locations, its stop serving time is location-specific and thus UE-specific</w:t>
      </w:r>
      <w:r w:rsidR="00F5335B" w:rsidRPr="00C34317">
        <w:rPr>
          <w:rFonts w:ascii="Times New Roman" w:hAnsi="Times New Roman"/>
          <w:sz w:val="22"/>
        </w:rPr>
        <w:t xml:space="preserve"> (i.e. when the serving cell stops providing coverage at the present UE location)</w:t>
      </w:r>
      <w:r w:rsidRPr="00C34317">
        <w:rPr>
          <w:rFonts w:ascii="Times New Roman" w:hAnsi="Times New Roman"/>
          <w:sz w:val="22"/>
        </w:rPr>
        <w:t xml:space="preserve">. As a result broadcasting a single cell-specific </w:t>
      </w:r>
      <w:r w:rsidRPr="00C34317">
        <w:rPr>
          <w:rFonts w:ascii="Times New Roman" w:hAnsi="Times New Roman"/>
          <w:i/>
          <w:iCs/>
          <w:sz w:val="22"/>
        </w:rPr>
        <w:t>t-Service</w:t>
      </w:r>
      <w:r w:rsidRPr="00C34317">
        <w:rPr>
          <w:rFonts w:ascii="Times New Roman" w:hAnsi="Times New Roman"/>
          <w:sz w:val="22"/>
        </w:rPr>
        <w:t xml:space="preserve"> is inaccurate and is difficult to use. Therefore an issue arises as how to indicate the UE/location-specific cell stop serving time of an earth-moving cell to the UE.</w:t>
      </w:r>
    </w:p>
    <w:p w14:paraId="16B65570" w14:textId="38DA9CA2"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Observation </w:t>
      </w:r>
      <w:r w:rsidR="00EF600C" w:rsidRPr="00C34317">
        <w:rPr>
          <w:rFonts w:ascii="Times New Roman" w:hAnsi="Times New Roman"/>
          <w:b/>
          <w:bCs/>
          <w:sz w:val="22"/>
        </w:rPr>
        <w:t>1</w:t>
      </w:r>
      <w:r w:rsidRPr="00C34317">
        <w:rPr>
          <w:rFonts w:ascii="Times New Roman" w:hAnsi="Times New Roman"/>
          <w:b/>
          <w:bCs/>
          <w:sz w:val="22"/>
        </w:rPr>
        <w:t xml:space="preserve">: For </w:t>
      </w:r>
      <w:r w:rsidR="00F5335B" w:rsidRPr="00C34317">
        <w:rPr>
          <w:rFonts w:ascii="Times New Roman" w:hAnsi="Times New Roman"/>
          <w:b/>
          <w:bCs/>
          <w:sz w:val="22"/>
        </w:rPr>
        <w:t>e</w:t>
      </w:r>
      <w:r w:rsidRPr="00C34317">
        <w:rPr>
          <w:rFonts w:ascii="Times New Roman" w:hAnsi="Times New Roman"/>
          <w:b/>
          <w:bCs/>
          <w:sz w:val="22"/>
        </w:rPr>
        <w:t>arth-moving cells, how to indicate the UE</w:t>
      </w:r>
      <w:r w:rsidR="00C34317" w:rsidRPr="00C34317">
        <w:rPr>
          <w:rFonts w:ascii="Times New Roman" w:hAnsi="Times New Roman"/>
          <w:sz w:val="22"/>
        </w:rPr>
        <w:t xml:space="preserve"> </w:t>
      </w:r>
      <w:r w:rsidR="00C34317" w:rsidRPr="00C34317">
        <w:rPr>
          <w:rFonts w:ascii="Times New Roman" w:hAnsi="Times New Roman"/>
          <w:b/>
          <w:bCs/>
          <w:sz w:val="22"/>
        </w:rPr>
        <w:t>to estimate when the serving cell stops providing coverage at the present UE location</w:t>
      </w:r>
      <w:r w:rsidRPr="00C34317">
        <w:rPr>
          <w:rFonts w:ascii="Times New Roman" w:hAnsi="Times New Roman"/>
          <w:b/>
          <w:bCs/>
          <w:sz w:val="22"/>
        </w:rPr>
        <w:t xml:space="preserve"> is more complicated than indicating cell-specific </w:t>
      </w:r>
      <w:r w:rsidRPr="00C34317">
        <w:rPr>
          <w:rFonts w:ascii="Times New Roman" w:hAnsi="Times New Roman"/>
          <w:b/>
          <w:bCs/>
          <w:i/>
          <w:iCs/>
          <w:sz w:val="22"/>
        </w:rPr>
        <w:t>t-Service</w:t>
      </w:r>
      <w:r w:rsidRPr="00C34317">
        <w:rPr>
          <w:rFonts w:ascii="Times New Roman" w:hAnsi="Times New Roman"/>
          <w:b/>
          <w:bCs/>
          <w:sz w:val="22"/>
        </w:rPr>
        <w:t xml:space="preserve"> for quasi-Earth-fixed cells.</w:t>
      </w:r>
    </w:p>
    <w:p w14:paraId="193CFDFD" w14:textId="1E132E3F" w:rsidR="00F5335B" w:rsidRPr="00C34317" w:rsidRDefault="00F5335B" w:rsidP="00E23AF1">
      <w:pPr>
        <w:rPr>
          <w:rFonts w:ascii="Times New Roman" w:hAnsi="Times New Roman"/>
          <w:sz w:val="22"/>
        </w:rPr>
      </w:pPr>
      <w:r w:rsidRPr="00C34317">
        <w:rPr>
          <w:rFonts w:ascii="Times New Roman" w:hAnsi="Times New Roman"/>
          <w:sz w:val="22"/>
        </w:rPr>
        <w:t>Therefore, the following options can be considered</w:t>
      </w:r>
      <w:r w:rsidR="00C857FB" w:rsidRPr="00C34317">
        <w:rPr>
          <w:rFonts w:ascii="Times New Roman" w:hAnsi="Times New Roman"/>
          <w:sz w:val="22"/>
        </w:rPr>
        <w:t xml:space="preserve"> for UE to estimate when the serving cell stops providing coverage at the present UE location</w:t>
      </w:r>
      <w:r w:rsidRPr="00C34317">
        <w:rPr>
          <w:rFonts w:ascii="Times New Roman" w:hAnsi="Times New Roman"/>
          <w:sz w:val="22"/>
        </w:rPr>
        <w:t>:</w:t>
      </w:r>
    </w:p>
    <w:p w14:paraId="1BEA4202" w14:textId="3030B994" w:rsidR="00F5335B" w:rsidRPr="00C34317" w:rsidRDefault="00F5335B" w:rsidP="00F5335B">
      <w:pPr>
        <w:pStyle w:val="a6"/>
        <w:numPr>
          <w:ilvl w:val="0"/>
          <w:numId w:val="15"/>
        </w:numPr>
        <w:spacing w:after="0"/>
        <w:ind w:firstLineChars="0"/>
        <w:rPr>
          <w:sz w:val="22"/>
          <w:szCs w:val="22"/>
        </w:rPr>
      </w:pPr>
      <w:r w:rsidRPr="00C34317">
        <w:rPr>
          <w:sz w:val="22"/>
          <w:szCs w:val="22"/>
        </w:rPr>
        <w:t>Option 1</w:t>
      </w:r>
      <w:r w:rsidR="000615F7" w:rsidRPr="00C34317">
        <w:rPr>
          <w:sz w:val="22"/>
          <w:szCs w:val="22"/>
        </w:rPr>
        <w:t>A</w:t>
      </w:r>
      <w:r w:rsidRPr="00C34317">
        <w:rPr>
          <w:sz w:val="22"/>
          <w:szCs w:val="22"/>
        </w:rPr>
        <w:t xml:space="preserve">: Multiple stop serving times similar to </w:t>
      </w:r>
      <w:r w:rsidRPr="00C34317">
        <w:rPr>
          <w:i/>
          <w:iCs/>
          <w:sz w:val="22"/>
          <w:szCs w:val="22"/>
        </w:rPr>
        <w:t>t-Service</w:t>
      </w:r>
      <w:r w:rsidRPr="00C34317">
        <w:rPr>
          <w:sz w:val="22"/>
          <w:szCs w:val="22"/>
        </w:rPr>
        <w:t xml:space="preserve">. Each stop serving time could be associated to </w:t>
      </w:r>
      <w:bookmarkStart w:id="5" w:name="_Hlk118206657"/>
      <w:r w:rsidRPr="00C34317">
        <w:rPr>
          <w:sz w:val="22"/>
          <w:szCs w:val="22"/>
        </w:rPr>
        <w:t>an area or elevation angle. And UE could apply one stop serving time based on its area or elevation angle.</w:t>
      </w:r>
    </w:p>
    <w:bookmarkEnd w:id="5"/>
    <w:p w14:paraId="04F2FB1B" w14:textId="6A2D3922"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0615F7" w:rsidRPr="00C34317">
        <w:rPr>
          <w:sz w:val="22"/>
          <w:szCs w:val="22"/>
        </w:rPr>
        <w:t>1B</w:t>
      </w:r>
      <w:r w:rsidRPr="00C34317">
        <w:rPr>
          <w:sz w:val="22"/>
          <w:szCs w:val="22"/>
        </w:rPr>
        <w:t xml:space="preserve">: Multiple offsets to </w:t>
      </w:r>
      <w:r w:rsidRPr="00C34317">
        <w:rPr>
          <w:i/>
          <w:iCs/>
          <w:sz w:val="22"/>
          <w:szCs w:val="22"/>
        </w:rPr>
        <w:t>t-Service</w:t>
      </w:r>
      <w:r w:rsidRPr="00C34317">
        <w:rPr>
          <w:sz w:val="22"/>
          <w:szCs w:val="22"/>
        </w:rPr>
        <w:t>. Each offset could be associated to an area or elevation angle. And UE could apply one offset based on its area or elevation angle.</w:t>
      </w:r>
    </w:p>
    <w:p w14:paraId="776C5A63" w14:textId="34AB5A05" w:rsidR="00F5335B" w:rsidRPr="00C34317" w:rsidRDefault="00F5335B" w:rsidP="00F5335B">
      <w:pPr>
        <w:pStyle w:val="a6"/>
        <w:numPr>
          <w:ilvl w:val="0"/>
          <w:numId w:val="15"/>
        </w:numPr>
        <w:spacing w:after="0"/>
        <w:ind w:firstLineChars="0"/>
        <w:rPr>
          <w:sz w:val="22"/>
          <w:szCs w:val="22"/>
        </w:rPr>
      </w:pPr>
      <w:r w:rsidRPr="00C34317">
        <w:rPr>
          <w:sz w:val="22"/>
          <w:szCs w:val="22"/>
        </w:rPr>
        <w:lastRenderedPageBreak/>
        <w:t xml:space="preserve">Option </w:t>
      </w:r>
      <w:r w:rsidR="000615F7" w:rsidRPr="00C34317">
        <w:rPr>
          <w:sz w:val="22"/>
          <w:szCs w:val="22"/>
        </w:rPr>
        <w:t>1C</w:t>
      </w:r>
      <w:r w:rsidRPr="00C34317">
        <w:rPr>
          <w:sz w:val="22"/>
          <w:szCs w:val="22"/>
        </w:rPr>
        <w:t>: UE estimates stop serving time based on cell coverage information (e.g., ellipse radius, minimum angle). Network could indicate UE that the stop serving time is location/UE-specific and thus needs to be estimated.</w:t>
      </w:r>
    </w:p>
    <w:p w14:paraId="26C9F065" w14:textId="011D2C0C" w:rsidR="00F5335B" w:rsidRPr="00C34317" w:rsidRDefault="00F5335B" w:rsidP="00F5335B">
      <w:pPr>
        <w:pStyle w:val="a6"/>
        <w:numPr>
          <w:ilvl w:val="0"/>
          <w:numId w:val="15"/>
        </w:numPr>
        <w:spacing w:after="0"/>
        <w:ind w:firstLineChars="0"/>
        <w:rPr>
          <w:sz w:val="22"/>
          <w:szCs w:val="22"/>
        </w:rPr>
      </w:pPr>
      <w:r w:rsidRPr="00C34317">
        <w:rPr>
          <w:sz w:val="22"/>
          <w:szCs w:val="22"/>
        </w:rPr>
        <w:t xml:space="preserve">Option </w:t>
      </w:r>
      <w:r w:rsidR="000615F7" w:rsidRPr="00C34317">
        <w:rPr>
          <w:sz w:val="22"/>
          <w:szCs w:val="22"/>
        </w:rPr>
        <w:t>1D</w:t>
      </w:r>
      <w:r w:rsidRPr="00C34317">
        <w:rPr>
          <w:sz w:val="22"/>
          <w:szCs w:val="22"/>
        </w:rPr>
        <w:t>: A cell stop serving time threshold. UE considers the cell stop serving time as the time when the timing advance is larger than the threshold.</w:t>
      </w:r>
    </w:p>
    <w:p w14:paraId="6BF869C0" w14:textId="04E9863B" w:rsidR="00E23AF1" w:rsidRPr="00C34317" w:rsidRDefault="00E23AF1" w:rsidP="00E23AF1">
      <w:pPr>
        <w:rPr>
          <w:rFonts w:ascii="Times New Roman" w:eastAsiaTheme="minorEastAsia" w:hAnsi="Times New Roman"/>
          <w:b/>
          <w:bCs/>
          <w:sz w:val="22"/>
        </w:rPr>
      </w:pPr>
      <w:r w:rsidRPr="00C34317">
        <w:rPr>
          <w:rFonts w:ascii="Times New Roman" w:eastAsiaTheme="minorEastAsia" w:hAnsi="Times New Roman"/>
          <w:b/>
          <w:bCs/>
          <w:sz w:val="22"/>
        </w:rPr>
        <w:t xml:space="preserve">Proposal </w:t>
      </w:r>
      <w:r w:rsidR="00EF600C" w:rsidRPr="00C34317">
        <w:rPr>
          <w:rFonts w:ascii="Times New Roman" w:eastAsiaTheme="minorEastAsia" w:hAnsi="Times New Roman"/>
          <w:b/>
          <w:bCs/>
          <w:sz w:val="22"/>
        </w:rPr>
        <w:t>1</w:t>
      </w:r>
      <w:r w:rsidRPr="00C34317">
        <w:rPr>
          <w:rFonts w:ascii="Times New Roman" w:eastAsiaTheme="minorEastAsia" w:hAnsi="Times New Roman"/>
          <w:b/>
          <w:bCs/>
          <w:sz w:val="22"/>
        </w:rPr>
        <w:t xml:space="preserve">: </w:t>
      </w:r>
      <w:r w:rsidRPr="00C34317">
        <w:rPr>
          <w:rFonts w:ascii="Times New Roman" w:hAnsi="Times New Roman"/>
          <w:b/>
          <w:bCs/>
          <w:sz w:val="22"/>
        </w:rPr>
        <w:t xml:space="preserve">For </w:t>
      </w:r>
      <w:r w:rsidR="00954892" w:rsidRPr="00C34317">
        <w:rPr>
          <w:rFonts w:ascii="Times New Roman" w:hAnsi="Times New Roman"/>
          <w:b/>
          <w:bCs/>
          <w:sz w:val="22"/>
        </w:rPr>
        <w:t>earth-moving</w:t>
      </w:r>
      <w:r w:rsidRPr="00C34317">
        <w:rPr>
          <w:rFonts w:ascii="Times New Roman" w:hAnsi="Times New Roman"/>
          <w:b/>
          <w:bCs/>
          <w:sz w:val="22"/>
        </w:rPr>
        <w:t xml:space="preserve"> cells, RAN2 to </w:t>
      </w:r>
      <w:r w:rsidR="00F5335B" w:rsidRPr="00C34317">
        <w:rPr>
          <w:rFonts w:ascii="Times New Roman" w:hAnsi="Times New Roman"/>
          <w:b/>
          <w:bCs/>
          <w:sz w:val="22"/>
        </w:rPr>
        <w:t>consider the above options</w:t>
      </w:r>
      <w:r w:rsidRPr="00C34317">
        <w:rPr>
          <w:rFonts w:ascii="Times New Roman" w:hAnsi="Times New Roman"/>
          <w:b/>
          <w:bCs/>
          <w:sz w:val="22"/>
        </w:rPr>
        <w:t xml:space="preserve"> to indicate UE</w:t>
      </w:r>
      <w:r w:rsidR="00C34317" w:rsidRPr="00C34317">
        <w:rPr>
          <w:rFonts w:ascii="Times New Roman" w:hAnsi="Times New Roman"/>
          <w:sz w:val="22"/>
        </w:rPr>
        <w:t xml:space="preserve"> </w:t>
      </w:r>
      <w:r w:rsidR="00C34317" w:rsidRPr="00C34317">
        <w:rPr>
          <w:rFonts w:ascii="Times New Roman" w:hAnsi="Times New Roman"/>
          <w:b/>
          <w:bCs/>
          <w:sz w:val="22"/>
        </w:rPr>
        <w:t>to estimate when the serving cell stops providing coverage at the present UE location</w:t>
      </w:r>
      <w:r w:rsidRPr="00C34317">
        <w:rPr>
          <w:rFonts w:ascii="Times New Roman" w:hAnsi="Times New Roman"/>
          <w:b/>
          <w:bCs/>
          <w:sz w:val="22"/>
        </w:rPr>
        <w:t>.</w:t>
      </w:r>
    </w:p>
    <w:p w14:paraId="33FDD034" w14:textId="697D5581" w:rsidR="00E23AF1" w:rsidRPr="00C34317" w:rsidRDefault="00E23AF1" w:rsidP="00E23AF1">
      <w:pPr>
        <w:rPr>
          <w:rFonts w:ascii="Times New Roman" w:eastAsiaTheme="minorEastAsia" w:hAnsi="Times New Roman"/>
          <w:sz w:val="22"/>
        </w:rPr>
      </w:pPr>
      <w:r w:rsidRPr="00C34317">
        <w:rPr>
          <w:rFonts w:ascii="Times New Roman" w:eastAsiaTheme="minorEastAsia" w:hAnsi="Times New Roman"/>
          <w:sz w:val="22"/>
        </w:rPr>
        <w:t xml:space="preserve">In Rel-17 NR NTN, reference location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serving cell is broadcast in SIB19, which is fixed for a quasi-earth-fixed cell during before its stop serving time. For an earth-moving cell with varying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over time, frequent UE re-acquiring (e.g., triggered by SI change) will cause more power consumption. It could likely be similar to the ephemeris handling in Rel-17 NTN wherein no SI change is triggered by ephemeris change. Therefore an issue arises as how to indicate the moving </w:t>
      </w:r>
      <w:r w:rsidRPr="00C34317">
        <w:rPr>
          <w:rFonts w:ascii="Times New Roman" w:eastAsiaTheme="minorEastAsia" w:hAnsi="Times New Roman"/>
          <w:i/>
          <w:iCs/>
          <w:sz w:val="22"/>
        </w:rPr>
        <w:t>referenceLocation</w:t>
      </w:r>
      <w:r w:rsidRPr="00C34317">
        <w:rPr>
          <w:rFonts w:ascii="Times New Roman" w:eastAsiaTheme="minorEastAsia" w:hAnsi="Times New Roman"/>
          <w:sz w:val="22"/>
        </w:rPr>
        <w:t xml:space="preserve"> of an earth-moving cell to the UE.</w:t>
      </w:r>
    </w:p>
    <w:p w14:paraId="2B2932A2" w14:textId="599B8A22"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Observation </w:t>
      </w:r>
      <w:r w:rsidR="00EF600C" w:rsidRPr="00C34317">
        <w:rPr>
          <w:rFonts w:ascii="Times New Roman" w:hAnsi="Times New Roman"/>
          <w:b/>
          <w:bCs/>
          <w:sz w:val="22"/>
        </w:rPr>
        <w:t>2</w:t>
      </w:r>
      <w:r w:rsidRPr="00C34317">
        <w:rPr>
          <w:rFonts w:ascii="Times New Roman" w:hAnsi="Times New Roman"/>
          <w:b/>
          <w:bCs/>
          <w:sz w:val="22"/>
        </w:rPr>
        <w:t xml:space="preserve">: For </w:t>
      </w:r>
      <w:r w:rsidR="00954892" w:rsidRPr="00C34317">
        <w:rPr>
          <w:rFonts w:ascii="Times New Roman" w:hAnsi="Times New Roman"/>
          <w:b/>
          <w:bCs/>
          <w:sz w:val="22"/>
        </w:rPr>
        <w:t>earth-moving</w:t>
      </w:r>
      <w:r w:rsidRPr="00C34317">
        <w:rPr>
          <w:rFonts w:ascii="Times New Roman" w:hAnsi="Times New Roman"/>
          <w:b/>
          <w:bCs/>
          <w:sz w:val="22"/>
        </w:rPr>
        <w:t xml:space="preserve"> cells, how to indicate the varying cell reference location is more complicated than indicating fixed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for quasi-Earth-fixed cells.</w:t>
      </w:r>
    </w:p>
    <w:p w14:paraId="1BAC0644" w14:textId="057C83EA" w:rsidR="00F5335B" w:rsidRPr="00C34317" w:rsidRDefault="00F5335B" w:rsidP="00F5335B">
      <w:pPr>
        <w:rPr>
          <w:rFonts w:ascii="Times New Roman" w:hAnsi="Times New Roman"/>
          <w:sz w:val="22"/>
        </w:rPr>
      </w:pPr>
      <w:r w:rsidRPr="00C34317">
        <w:rPr>
          <w:rFonts w:ascii="Times New Roman" w:hAnsi="Times New Roman"/>
          <w:sz w:val="22"/>
        </w:rPr>
        <w:t>Therefore, the following options can be considered</w:t>
      </w:r>
      <w:r w:rsidR="00C34317" w:rsidRPr="00C34317">
        <w:rPr>
          <w:rFonts w:ascii="Times New Roman" w:hAnsi="Times New Roman"/>
          <w:sz w:val="22"/>
        </w:rPr>
        <w:t xml:space="preserve"> to indicate the moving cell reference location</w:t>
      </w:r>
      <w:r w:rsidRPr="00C34317">
        <w:rPr>
          <w:rFonts w:ascii="Times New Roman" w:hAnsi="Times New Roman"/>
          <w:sz w:val="22"/>
        </w:rPr>
        <w:t>:</w:t>
      </w:r>
    </w:p>
    <w:p w14:paraId="4BF7783A" w14:textId="18CE91D3" w:rsidR="00F5335B" w:rsidRPr="00C34317" w:rsidRDefault="00F5335B" w:rsidP="000615F7">
      <w:pPr>
        <w:pStyle w:val="a6"/>
        <w:numPr>
          <w:ilvl w:val="0"/>
          <w:numId w:val="16"/>
        </w:numPr>
        <w:spacing w:after="0"/>
        <w:ind w:firstLineChars="0"/>
        <w:rPr>
          <w:sz w:val="22"/>
          <w:szCs w:val="22"/>
        </w:rPr>
      </w:pPr>
      <w:r w:rsidRPr="00C34317">
        <w:rPr>
          <w:sz w:val="22"/>
          <w:szCs w:val="22"/>
        </w:rPr>
        <w:t xml:space="preserve">Option </w:t>
      </w:r>
      <w:r w:rsidR="000615F7" w:rsidRPr="00C34317">
        <w:rPr>
          <w:sz w:val="22"/>
          <w:szCs w:val="22"/>
        </w:rPr>
        <w:t>2A</w:t>
      </w:r>
      <w:r w:rsidRPr="00C34317">
        <w:rPr>
          <w:sz w:val="22"/>
          <w:szCs w:val="22"/>
        </w:rPr>
        <w:t>: Multiple reference locations. Each reference location could be associated to</w:t>
      </w:r>
      <w:r w:rsidR="000615F7" w:rsidRPr="00C34317">
        <w:rPr>
          <w:sz w:val="22"/>
          <w:szCs w:val="22"/>
        </w:rPr>
        <w:t xml:space="preserve"> a time duration,</w:t>
      </w:r>
      <w:r w:rsidRPr="00C34317">
        <w:rPr>
          <w:sz w:val="22"/>
          <w:szCs w:val="22"/>
        </w:rPr>
        <w:t xml:space="preserve"> </w:t>
      </w:r>
      <w:r w:rsidR="000615F7" w:rsidRPr="00C34317">
        <w:rPr>
          <w:sz w:val="22"/>
          <w:szCs w:val="22"/>
        </w:rPr>
        <w:t>an area or elevation angle. And UE could apply one reference location based on the current time, its area or elevation angle.</w:t>
      </w:r>
    </w:p>
    <w:p w14:paraId="6FCC26F4" w14:textId="382C225C" w:rsidR="00F5335B" w:rsidRPr="00C34317" w:rsidRDefault="00F5335B" w:rsidP="000615F7">
      <w:pPr>
        <w:pStyle w:val="a6"/>
        <w:numPr>
          <w:ilvl w:val="0"/>
          <w:numId w:val="16"/>
        </w:numPr>
        <w:spacing w:after="0"/>
        <w:ind w:firstLineChars="0"/>
        <w:rPr>
          <w:sz w:val="22"/>
          <w:szCs w:val="22"/>
        </w:rPr>
      </w:pPr>
      <w:r w:rsidRPr="00C34317">
        <w:rPr>
          <w:sz w:val="22"/>
          <w:szCs w:val="22"/>
        </w:rPr>
        <w:t xml:space="preserve">Option </w:t>
      </w:r>
      <w:r w:rsidR="000615F7" w:rsidRPr="00C34317">
        <w:rPr>
          <w:sz w:val="22"/>
          <w:szCs w:val="22"/>
        </w:rPr>
        <w:t>2B</w:t>
      </w:r>
      <w:r w:rsidRPr="00C34317">
        <w:rPr>
          <w:sz w:val="22"/>
          <w:szCs w:val="22"/>
        </w:rPr>
        <w:t xml:space="preserve">: </w:t>
      </w:r>
      <w:r w:rsidR="000615F7" w:rsidRPr="00C34317">
        <w:rPr>
          <w:sz w:val="22"/>
          <w:szCs w:val="22"/>
        </w:rPr>
        <w:t>Multiple o</w:t>
      </w:r>
      <w:r w:rsidRPr="00C34317">
        <w:rPr>
          <w:sz w:val="22"/>
          <w:szCs w:val="22"/>
        </w:rPr>
        <w:t xml:space="preserve">ffsets to </w:t>
      </w:r>
      <w:r w:rsidRPr="00C34317">
        <w:rPr>
          <w:i/>
          <w:iCs/>
          <w:sz w:val="22"/>
          <w:szCs w:val="22"/>
        </w:rPr>
        <w:t>referenceLocation</w:t>
      </w:r>
      <w:r w:rsidRPr="00C34317">
        <w:rPr>
          <w:sz w:val="22"/>
          <w:szCs w:val="22"/>
        </w:rPr>
        <w:t xml:space="preserve">. </w:t>
      </w:r>
      <w:r w:rsidR="000615F7" w:rsidRPr="00C34317">
        <w:rPr>
          <w:sz w:val="22"/>
          <w:szCs w:val="22"/>
        </w:rPr>
        <w:t>Each offset could be associated to a time duration, an area or elevation angle. And UE could apply one offset based on the current time, its area or elevation angle.</w:t>
      </w:r>
    </w:p>
    <w:p w14:paraId="2E9350EA" w14:textId="6FBF0E53" w:rsidR="00F5335B" w:rsidRPr="00C34317" w:rsidRDefault="00F5335B" w:rsidP="000615F7">
      <w:pPr>
        <w:pStyle w:val="a6"/>
        <w:numPr>
          <w:ilvl w:val="0"/>
          <w:numId w:val="16"/>
        </w:numPr>
        <w:spacing w:after="0"/>
        <w:ind w:firstLineChars="0"/>
        <w:rPr>
          <w:sz w:val="22"/>
          <w:szCs w:val="22"/>
        </w:rPr>
      </w:pPr>
      <w:r w:rsidRPr="00C34317">
        <w:rPr>
          <w:sz w:val="22"/>
          <w:szCs w:val="22"/>
        </w:rPr>
        <w:t xml:space="preserve">Option </w:t>
      </w:r>
      <w:r w:rsidR="000615F7" w:rsidRPr="00C34317">
        <w:rPr>
          <w:sz w:val="22"/>
          <w:szCs w:val="22"/>
        </w:rPr>
        <w:t>2C</w:t>
      </w:r>
      <w:r w:rsidRPr="00C34317">
        <w:rPr>
          <w:sz w:val="22"/>
          <w:szCs w:val="22"/>
        </w:rPr>
        <w:t xml:space="preserve">: </w:t>
      </w:r>
      <w:r w:rsidR="000615F7" w:rsidRPr="00C34317">
        <w:rPr>
          <w:sz w:val="22"/>
          <w:szCs w:val="22"/>
        </w:rPr>
        <w:t>UE estimates</w:t>
      </w:r>
      <w:r w:rsidRPr="00C34317">
        <w:rPr>
          <w:sz w:val="22"/>
          <w:szCs w:val="22"/>
        </w:rPr>
        <w:t xml:space="preserve"> real-time reference location based on ephemeris.</w:t>
      </w:r>
      <w:r w:rsidR="000615F7" w:rsidRPr="00C34317">
        <w:rPr>
          <w:sz w:val="22"/>
          <w:szCs w:val="22"/>
        </w:rPr>
        <w:t xml:space="preserve"> Network could indicate UE that the reference location is varying and thus needs to be estimated.</w:t>
      </w:r>
    </w:p>
    <w:p w14:paraId="20BA9A5E" w14:textId="420E3714" w:rsidR="000615F7" w:rsidRPr="00C34317" w:rsidRDefault="000615F7" w:rsidP="000615F7">
      <w:pPr>
        <w:pStyle w:val="a6"/>
        <w:numPr>
          <w:ilvl w:val="0"/>
          <w:numId w:val="16"/>
        </w:numPr>
        <w:spacing w:after="0"/>
        <w:ind w:firstLineChars="0"/>
        <w:rPr>
          <w:sz w:val="22"/>
          <w:szCs w:val="22"/>
        </w:rPr>
      </w:pPr>
      <w:r w:rsidRPr="00C34317">
        <w:rPr>
          <w:sz w:val="22"/>
          <w:szCs w:val="22"/>
        </w:rPr>
        <w:t xml:space="preserve">Option 2D: Additional change information, e.g., drift or velocity vector of </w:t>
      </w:r>
      <w:r w:rsidRPr="00C34317">
        <w:rPr>
          <w:i/>
          <w:iCs/>
          <w:sz w:val="22"/>
          <w:szCs w:val="22"/>
        </w:rPr>
        <w:t>referenceLocation</w:t>
      </w:r>
      <w:r w:rsidRPr="00C34317">
        <w:rPr>
          <w:sz w:val="22"/>
          <w:szCs w:val="22"/>
        </w:rPr>
        <w:t xml:space="preserve">. UE estimates real-time reference location based on </w:t>
      </w:r>
      <w:r w:rsidRPr="00C34317">
        <w:rPr>
          <w:sz w:val="22"/>
          <w:szCs w:val="22"/>
          <w:lang w:eastAsia="zh-CN"/>
        </w:rPr>
        <w:t>the</w:t>
      </w:r>
      <w:r w:rsidRPr="00C34317">
        <w:rPr>
          <w:sz w:val="22"/>
          <w:szCs w:val="22"/>
        </w:rPr>
        <w:t xml:space="preserve"> change information</w:t>
      </w:r>
      <w:r w:rsidR="00E43153" w:rsidRPr="00C34317">
        <w:rPr>
          <w:sz w:val="22"/>
          <w:szCs w:val="22"/>
          <w:lang w:eastAsia="zh-CN"/>
        </w:rPr>
        <w:t>.</w:t>
      </w:r>
    </w:p>
    <w:p w14:paraId="3B144894" w14:textId="4B2B10FF" w:rsidR="00F5335B" w:rsidRPr="00C34317" w:rsidRDefault="00F5335B" w:rsidP="000615F7">
      <w:pPr>
        <w:pStyle w:val="a6"/>
        <w:numPr>
          <w:ilvl w:val="0"/>
          <w:numId w:val="16"/>
        </w:numPr>
        <w:spacing w:after="0"/>
        <w:ind w:firstLineChars="0"/>
        <w:rPr>
          <w:sz w:val="22"/>
          <w:szCs w:val="22"/>
          <w:lang w:val="en-US"/>
        </w:rPr>
      </w:pPr>
      <w:r w:rsidRPr="00C34317">
        <w:rPr>
          <w:sz w:val="22"/>
          <w:szCs w:val="22"/>
        </w:rPr>
        <w:t xml:space="preserve">Option </w:t>
      </w:r>
      <w:r w:rsidR="000615F7" w:rsidRPr="00C34317">
        <w:rPr>
          <w:sz w:val="22"/>
          <w:szCs w:val="22"/>
        </w:rPr>
        <w:t>2E</w:t>
      </w:r>
      <w:r w:rsidRPr="00C34317">
        <w:rPr>
          <w:sz w:val="22"/>
          <w:szCs w:val="22"/>
        </w:rPr>
        <w:t xml:space="preserve">: Set the </w:t>
      </w:r>
      <w:r w:rsidRPr="00C34317">
        <w:rPr>
          <w:i/>
          <w:iCs/>
          <w:sz w:val="22"/>
          <w:szCs w:val="22"/>
        </w:rPr>
        <w:t>referenceLocation</w:t>
      </w:r>
      <w:r w:rsidRPr="00C34317">
        <w:rPr>
          <w:sz w:val="22"/>
          <w:szCs w:val="22"/>
        </w:rPr>
        <w:t xml:space="preserve"> to the position of the satellite, so that UE-satellite distance is used for evaluation instead</w:t>
      </w:r>
      <w:r w:rsidR="000615F7" w:rsidRPr="00C34317">
        <w:rPr>
          <w:sz w:val="22"/>
          <w:szCs w:val="22"/>
        </w:rPr>
        <w:t>, which can be derived directly from UE-specific TA.</w:t>
      </w:r>
    </w:p>
    <w:p w14:paraId="66883F39" w14:textId="67A0993D" w:rsidR="00E23AF1" w:rsidRPr="00C34317" w:rsidRDefault="00E23AF1" w:rsidP="00E23AF1">
      <w:pPr>
        <w:rPr>
          <w:rFonts w:ascii="Times New Roman" w:eastAsiaTheme="minorEastAsia" w:hAnsi="Times New Roman"/>
          <w:b/>
          <w:bCs/>
          <w:sz w:val="22"/>
        </w:rPr>
      </w:pPr>
      <w:r w:rsidRPr="00C34317">
        <w:rPr>
          <w:rFonts w:ascii="Times New Roman" w:hAnsi="Times New Roman"/>
          <w:b/>
          <w:bCs/>
          <w:sz w:val="22"/>
        </w:rPr>
        <w:t xml:space="preserve">Proposal </w:t>
      </w:r>
      <w:r w:rsidR="00EF600C" w:rsidRPr="00C34317">
        <w:rPr>
          <w:rFonts w:ascii="Times New Roman" w:hAnsi="Times New Roman"/>
          <w:b/>
          <w:bCs/>
          <w:sz w:val="22"/>
        </w:rPr>
        <w:t>2</w:t>
      </w:r>
      <w:r w:rsidRPr="00C34317">
        <w:rPr>
          <w:rFonts w:ascii="Times New Roman" w:hAnsi="Times New Roman"/>
          <w:b/>
          <w:bCs/>
          <w:sz w:val="22"/>
        </w:rPr>
        <w:t xml:space="preserve">: For </w:t>
      </w:r>
      <w:r w:rsidR="00954892" w:rsidRPr="00C34317">
        <w:rPr>
          <w:rFonts w:ascii="Times New Roman" w:hAnsi="Times New Roman"/>
          <w:b/>
          <w:bCs/>
          <w:sz w:val="22"/>
        </w:rPr>
        <w:t>e</w:t>
      </w:r>
      <w:r w:rsidRPr="00C34317">
        <w:rPr>
          <w:rFonts w:ascii="Times New Roman" w:hAnsi="Times New Roman"/>
          <w:b/>
          <w:bCs/>
          <w:sz w:val="22"/>
        </w:rPr>
        <w:t xml:space="preserve">arth-moving cells, RAN2 to </w:t>
      </w:r>
      <w:r w:rsidR="00F5335B" w:rsidRPr="00C34317">
        <w:rPr>
          <w:rFonts w:ascii="Times New Roman" w:hAnsi="Times New Roman"/>
          <w:b/>
          <w:bCs/>
          <w:sz w:val="22"/>
        </w:rPr>
        <w:t>consider the above options</w:t>
      </w:r>
      <w:r w:rsidRPr="00C34317">
        <w:rPr>
          <w:rFonts w:ascii="Times New Roman" w:hAnsi="Times New Roman"/>
          <w:b/>
          <w:bCs/>
          <w:sz w:val="22"/>
        </w:rPr>
        <w:t xml:space="preserve">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13EE6DC3" w14:textId="77777777" w:rsidR="00E23AF1" w:rsidRPr="00C34317" w:rsidRDefault="00E23AF1" w:rsidP="00E23AF1">
      <w:pPr>
        <w:rPr>
          <w:rFonts w:ascii="Times New Roman" w:eastAsiaTheme="minorEastAsia" w:hAnsi="Times New Roman"/>
          <w:sz w:val="22"/>
        </w:rPr>
      </w:pPr>
      <w:r w:rsidRPr="00C34317">
        <w:rPr>
          <w:rFonts w:ascii="Times New Roman" w:eastAsiaTheme="minorEastAsia" w:hAnsi="Times New Roman"/>
          <w:sz w:val="22"/>
        </w:rPr>
        <w:t xml:space="preserve">In Rel-17 NR NTN, for quasi-earth-fixed cells, cell stop serving time and feeder link switch time are both cell-specific, and thus network can configure </w:t>
      </w:r>
      <w:r w:rsidRPr="00C34317">
        <w:rPr>
          <w:rFonts w:ascii="Times New Roman" w:eastAsiaTheme="minorEastAsia" w:hAnsi="Times New Roman"/>
          <w:i/>
          <w:iCs/>
          <w:sz w:val="22"/>
        </w:rPr>
        <w:t>t-Service</w:t>
      </w:r>
      <w:r w:rsidRPr="00C34317">
        <w:rPr>
          <w:rFonts w:ascii="Times New Roman" w:eastAsiaTheme="minorEastAsia" w:hAnsi="Times New Roman"/>
          <w:sz w:val="22"/>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3CF59593" w14:textId="4C100A0F"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Observation </w:t>
      </w:r>
      <w:r w:rsidR="00EF600C" w:rsidRPr="00C34317">
        <w:rPr>
          <w:rFonts w:ascii="Times New Roman" w:hAnsi="Times New Roman"/>
          <w:b/>
          <w:bCs/>
          <w:sz w:val="22"/>
        </w:rPr>
        <w:t>3</w:t>
      </w:r>
      <w:r w:rsidRPr="00C34317">
        <w:rPr>
          <w:rFonts w:ascii="Times New Roman" w:hAnsi="Times New Roman"/>
          <w:b/>
          <w:bCs/>
          <w:sz w:val="22"/>
        </w:rPr>
        <w:t xml:space="preserve">: For </w:t>
      </w:r>
      <w:r w:rsidR="00954892" w:rsidRPr="00C34317">
        <w:rPr>
          <w:rFonts w:ascii="Times New Roman" w:hAnsi="Times New Roman"/>
          <w:b/>
          <w:bCs/>
          <w:sz w:val="22"/>
        </w:rPr>
        <w:t>e</w:t>
      </w:r>
      <w:r w:rsidRPr="00C34317">
        <w:rPr>
          <w:rFonts w:ascii="Times New Roman" w:hAnsi="Times New Roman"/>
          <w:b/>
          <w:bCs/>
          <w:sz w:val="22"/>
        </w:rPr>
        <w:t>arth-moving cells, one</w:t>
      </w:r>
      <w:r w:rsidRPr="00C34317">
        <w:rPr>
          <w:rFonts w:ascii="Times New Roman" w:eastAsiaTheme="minorEastAsia" w:hAnsi="Times New Roman"/>
          <w:b/>
          <w:bCs/>
          <w:i/>
          <w:iCs/>
          <w:sz w:val="22"/>
        </w:rPr>
        <w:t xml:space="preserve"> t-Service</w:t>
      </w:r>
      <w:r w:rsidRPr="00C34317">
        <w:rPr>
          <w:rFonts w:ascii="Times New Roman" w:hAnsi="Times New Roman"/>
          <w:b/>
          <w:bCs/>
          <w:sz w:val="22"/>
        </w:rPr>
        <w:t xml:space="preserve"> is not sufficient to indicate cell stop serving time and feeder link switch time simultaneously.</w:t>
      </w:r>
    </w:p>
    <w:p w14:paraId="34780A09" w14:textId="32668184" w:rsidR="00E23AF1" w:rsidRPr="00C34317" w:rsidRDefault="00E23AF1" w:rsidP="00E23AF1">
      <w:pPr>
        <w:rPr>
          <w:rFonts w:ascii="Times New Roman" w:hAnsi="Times New Roman"/>
          <w:b/>
          <w:bCs/>
          <w:sz w:val="22"/>
        </w:rPr>
      </w:pPr>
      <w:r w:rsidRPr="00C34317">
        <w:rPr>
          <w:rFonts w:ascii="Times New Roman" w:hAnsi="Times New Roman"/>
          <w:b/>
          <w:bCs/>
          <w:sz w:val="22"/>
        </w:rPr>
        <w:t xml:space="preserve">Proposal </w:t>
      </w:r>
      <w:r w:rsidR="00EF600C" w:rsidRPr="00C34317">
        <w:rPr>
          <w:rFonts w:ascii="Times New Roman" w:hAnsi="Times New Roman"/>
          <w:b/>
          <w:bCs/>
          <w:sz w:val="22"/>
        </w:rPr>
        <w:t>3</w:t>
      </w:r>
      <w:r w:rsidRPr="00C34317">
        <w:rPr>
          <w:rFonts w:ascii="Times New Roman" w:hAnsi="Times New Roman"/>
          <w:b/>
          <w:bCs/>
          <w:sz w:val="22"/>
        </w:rPr>
        <w:t xml:space="preserve">: For </w:t>
      </w:r>
      <w:r w:rsidR="00954892" w:rsidRPr="00C34317">
        <w:rPr>
          <w:rFonts w:ascii="Times New Roman" w:hAnsi="Times New Roman"/>
          <w:b/>
          <w:bCs/>
          <w:sz w:val="22"/>
        </w:rPr>
        <w:t>e</w:t>
      </w:r>
      <w:r w:rsidRPr="00C34317">
        <w:rPr>
          <w:rFonts w:ascii="Times New Roman" w:hAnsi="Times New Roman"/>
          <w:b/>
          <w:bCs/>
          <w:sz w:val="22"/>
        </w:rPr>
        <w:t>arth-moving cells, RAN2 to discuss how to indicate the feeder link switch time.</w:t>
      </w:r>
    </w:p>
    <w:bookmarkEnd w:id="4"/>
    <w:p w14:paraId="21D69B12" w14:textId="77777777" w:rsidR="00CE3390" w:rsidRPr="00C34317"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34317">
        <w:rPr>
          <w:rFonts w:cs="Arial"/>
          <w:b/>
          <w:sz w:val="32"/>
          <w:szCs w:val="32"/>
          <w:lang w:eastAsia="zh-CN"/>
        </w:rPr>
        <w:t>Conclusion</w:t>
      </w:r>
    </w:p>
    <w:p w14:paraId="4107CB1E" w14:textId="09D11DA6" w:rsidR="00A90536" w:rsidRPr="00C34317" w:rsidRDefault="00A90536" w:rsidP="004A48D0">
      <w:pPr>
        <w:rPr>
          <w:rFonts w:ascii="Times New Roman" w:hAnsi="Times New Roman"/>
          <w:sz w:val="22"/>
          <w:lang w:val="en-GB"/>
        </w:rPr>
      </w:pPr>
      <w:r w:rsidRPr="00C34317">
        <w:rPr>
          <w:rFonts w:ascii="Times New Roman" w:hAnsi="Times New Roman"/>
          <w:sz w:val="22"/>
          <w:lang w:val="en-GB"/>
        </w:rPr>
        <w:t xml:space="preserve">In this contribution, </w:t>
      </w:r>
      <w:r w:rsidR="000E18AA" w:rsidRPr="00C34317">
        <w:rPr>
          <w:rFonts w:ascii="Times New Roman" w:hAnsi="Times New Roman"/>
          <w:sz w:val="22"/>
          <w:lang w:val="en-GB"/>
        </w:rPr>
        <w:t xml:space="preserve">we </w:t>
      </w:r>
      <w:r w:rsidR="004F3048" w:rsidRPr="00C34317">
        <w:rPr>
          <w:rFonts w:ascii="Times New Roman" w:hAnsi="Times New Roman"/>
          <w:sz w:val="22"/>
        </w:rPr>
        <w:t>provide</w:t>
      </w:r>
      <w:r w:rsidR="006A7F06" w:rsidRPr="00C34317">
        <w:rPr>
          <w:rFonts w:ascii="Times New Roman" w:hAnsi="Times New Roman"/>
          <w:sz w:val="22"/>
        </w:rPr>
        <w:t xml:space="preserve"> further</w:t>
      </w:r>
      <w:r w:rsidR="004F3048" w:rsidRPr="00C34317">
        <w:rPr>
          <w:rFonts w:ascii="Times New Roman" w:hAnsi="Times New Roman"/>
          <w:sz w:val="22"/>
        </w:rPr>
        <w:t xml:space="preserve"> issue analysis of</w:t>
      </w:r>
      <w:r w:rsidR="006A7F06" w:rsidRPr="00C34317">
        <w:rPr>
          <w:rFonts w:ascii="Times New Roman" w:hAnsi="Times New Roman"/>
          <w:sz w:val="22"/>
        </w:rPr>
        <w:t xml:space="preserve"> IDLE/INACTIVE mobility in NTN</w:t>
      </w:r>
      <w:r w:rsidR="00954892" w:rsidRPr="00C34317">
        <w:rPr>
          <w:rFonts w:ascii="Times New Roman" w:hAnsi="Times New Roman"/>
          <w:sz w:val="22"/>
        </w:rPr>
        <w:t xml:space="preserve"> considering moving cells and TN area</w:t>
      </w:r>
      <w:r w:rsidR="00632713" w:rsidRPr="00C34317">
        <w:rPr>
          <w:rFonts w:ascii="Times New Roman" w:hAnsi="Times New Roman"/>
          <w:sz w:val="22"/>
          <w:lang w:val="en-GB"/>
        </w:rPr>
        <w:t>.</w:t>
      </w:r>
      <w:r w:rsidR="00160536" w:rsidRPr="00C34317">
        <w:rPr>
          <w:rFonts w:ascii="Times New Roman" w:hAnsi="Times New Roman"/>
          <w:sz w:val="22"/>
          <w:lang w:val="en-GB"/>
        </w:rPr>
        <w:t xml:space="preserve"> T</w:t>
      </w:r>
      <w:r w:rsidR="00513357" w:rsidRPr="00C34317">
        <w:rPr>
          <w:rFonts w:ascii="Times New Roman" w:hAnsi="Times New Roman"/>
          <w:sz w:val="22"/>
          <w:lang w:val="en-GB"/>
        </w:rPr>
        <w:t>he following</w:t>
      </w:r>
      <w:r w:rsidR="007A72BF" w:rsidRPr="00C34317">
        <w:rPr>
          <w:rFonts w:ascii="Times New Roman" w:hAnsi="Times New Roman"/>
          <w:sz w:val="22"/>
          <w:lang w:val="en-GB"/>
        </w:rPr>
        <w:t xml:space="preserve"> observation </w:t>
      </w:r>
      <w:r w:rsidR="00BE7260" w:rsidRPr="00C34317">
        <w:rPr>
          <w:rFonts w:ascii="Times New Roman" w:hAnsi="Times New Roman"/>
          <w:sz w:val="22"/>
          <w:lang w:val="en-GB"/>
        </w:rPr>
        <w:t>are</w:t>
      </w:r>
      <w:r w:rsidR="00513357" w:rsidRPr="00C34317">
        <w:rPr>
          <w:rFonts w:ascii="Times New Roman" w:hAnsi="Times New Roman"/>
          <w:sz w:val="22"/>
          <w:lang w:val="en-GB"/>
        </w:rPr>
        <w:t xml:space="preserve"> given</w:t>
      </w:r>
      <w:r w:rsidRPr="00C34317">
        <w:rPr>
          <w:rFonts w:ascii="Times New Roman" w:hAnsi="Times New Roman"/>
          <w:sz w:val="22"/>
          <w:lang w:val="en-GB"/>
        </w:rPr>
        <w:t>:</w:t>
      </w:r>
    </w:p>
    <w:p w14:paraId="26820439" w14:textId="77777777" w:rsidR="003F0192" w:rsidRPr="00C34317" w:rsidRDefault="003F0192" w:rsidP="003F0192">
      <w:pPr>
        <w:rPr>
          <w:rFonts w:ascii="Times New Roman" w:hAnsi="Times New Roman"/>
          <w:b/>
          <w:bCs/>
          <w:sz w:val="22"/>
        </w:rPr>
      </w:pPr>
      <w:r w:rsidRPr="00C34317">
        <w:rPr>
          <w:rFonts w:ascii="Times New Roman" w:hAnsi="Times New Roman"/>
          <w:b/>
          <w:bCs/>
          <w:sz w:val="22"/>
        </w:rPr>
        <w:t xml:space="preserve">Observation 1: For earth-moving cells, how to indicate the UE/location-specific cell stop serving time is more complicated than indicating cell-specific </w:t>
      </w:r>
      <w:r w:rsidRPr="00C34317">
        <w:rPr>
          <w:rFonts w:ascii="Times New Roman" w:hAnsi="Times New Roman"/>
          <w:b/>
          <w:bCs/>
          <w:i/>
          <w:iCs/>
          <w:sz w:val="22"/>
        </w:rPr>
        <w:t>t-Service</w:t>
      </w:r>
      <w:r w:rsidRPr="00C34317">
        <w:rPr>
          <w:rFonts w:ascii="Times New Roman" w:hAnsi="Times New Roman"/>
          <w:b/>
          <w:bCs/>
          <w:sz w:val="22"/>
        </w:rPr>
        <w:t xml:space="preserve"> for quasi-Earth-fixed cells.</w:t>
      </w:r>
    </w:p>
    <w:p w14:paraId="64E8C4EA" w14:textId="77777777" w:rsidR="003F0192" w:rsidRPr="00C34317" w:rsidRDefault="003F0192" w:rsidP="003F0192">
      <w:pPr>
        <w:rPr>
          <w:rFonts w:ascii="Times New Roman" w:hAnsi="Times New Roman"/>
          <w:b/>
          <w:bCs/>
          <w:sz w:val="22"/>
        </w:rPr>
      </w:pPr>
      <w:r w:rsidRPr="00C34317">
        <w:rPr>
          <w:rFonts w:ascii="Times New Roman" w:hAnsi="Times New Roman"/>
          <w:b/>
          <w:bCs/>
          <w:sz w:val="22"/>
        </w:rPr>
        <w:t xml:space="preserve">Observation 2: For earth-moving cells, how to indicate the varying cell reference location is more </w:t>
      </w:r>
      <w:r w:rsidRPr="00C34317">
        <w:rPr>
          <w:rFonts w:ascii="Times New Roman" w:hAnsi="Times New Roman"/>
          <w:b/>
          <w:bCs/>
          <w:sz w:val="22"/>
        </w:rPr>
        <w:lastRenderedPageBreak/>
        <w:t xml:space="preserve">complicated than indicating fixed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for quasi-Earth-fixed cells.</w:t>
      </w:r>
    </w:p>
    <w:p w14:paraId="50D7266A" w14:textId="77777777" w:rsidR="003F0192" w:rsidRPr="00C34317" w:rsidRDefault="003F0192" w:rsidP="003F0192">
      <w:pPr>
        <w:rPr>
          <w:rFonts w:ascii="Times New Roman" w:hAnsi="Times New Roman"/>
          <w:b/>
          <w:bCs/>
          <w:sz w:val="22"/>
        </w:rPr>
      </w:pPr>
      <w:r w:rsidRPr="00C34317">
        <w:rPr>
          <w:rFonts w:ascii="Times New Roman" w:hAnsi="Times New Roman"/>
          <w:b/>
          <w:bCs/>
          <w:sz w:val="22"/>
        </w:rPr>
        <w:t>Observation 3: For earth-moving cells, one</w:t>
      </w:r>
      <w:r w:rsidRPr="00C34317">
        <w:rPr>
          <w:rFonts w:ascii="Times New Roman" w:eastAsiaTheme="minorEastAsia" w:hAnsi="Times New Roman"/>
          <w:b/>
          <w:bCs/>
          <w:i/>
          <w:iCs/>
          <w:sz w:val="22"/>
        </w:rPr>
        <w:t xml:space="preserve"> t-Service</w:t>
      </w:r>
      <w:r w:rsidRPr="00C34317">
        <w:rPr>
          <w:rFonts w:ascii="Times New Roman" w:hAnsi="Times New Roman"/>
          <w:b/>
          <w:bCs/>
          <w:sz w:val="22"/>
        </w:rPr>
        <w:t xml:space="preserve"> is not sufficient to indicate cell stop serving time and feeder link switch time simultaneously.</w:t>
      </w:r>
    </w:p>
    <w:p w14:paraId="5FC8578B" w14:textId="75444A46" w:rsidR="000E18AA" w:rsidRPr="00C34317" w:rsidRDefault="000E18AA" w:rsidP="004A48D0">
      <w:pPr>
        <w:rPr>
          <w:rFonts w:ascii="Times New Roman" w:hAnsi="Times New Roman"/>
          <w:sz w:val="22"/>
          <w:lang w:val="en-GB"/>
        </w:rPr>
      </w:pPr>
      <w:r w:rsidRPr="00C34317">
        <w:rPr>
          <w:rFonts w:ascii="Times New Roman" w:hAnsi="Times New Roman"/>
          <w:sz w:val="22"/>
          <w:lang w:val="en-GB"/>
        </w:rPr>
        <w:t>And we propose:</w:t>
      </w:r>
    </w:p>
    <w:p w14:paraId="35802789" w14:textId="77777777" w:rsidR="00C34317" w:rsidRPr="00C34317" w:rsidRDefault="00C34317" w:rsidP="00C34317">
      <w:pPr>
        <w:rPr>
          <w:rFonts w:ascii="Times New Roman" w:eastAsiaTheme="minorEastAsia" w:hAnsi="Times New Roman"/>
          <w:b/>
          <w:bCs/>
          <w:sz w:val="22"/>
        </w:rPr>
      </w:pPr>
      <w:r w:rsidRPr="00C34317">
        <w:rPr>
          <w:rFonts w:ascii="Times New Roman" w:eastAsiaTheme="minorEastAsia" w:hAnsi="Times New Roman"/>
          <w:b/>
          <w:bCs/>
          <w:sz w:val="22"/>
        </w:rPr>
        <w:t xml:space="preserve">Proposal 1: </w:t>
      </w:r>
      <w:r w:rsidRPr="00C34317">
        <w:rPr>
          <w:rFonts w:ascii="Times New Roman" w:hAnsi="Times New Roman"/>
          <w:b/>
          <w:bCs/>
          <w:sz w:val="22"/>
        </w:rPr>
        <w:t>For earth-moving cells, RAN2 to consider the above options to indicate UE</w:t>
      </w:r>
      <w:r w:rsidRPr="00C34317">
        <w:rPr>
          <w:rFonts w:ascii="Times New Roman" w:hAnsi="Times New Roman"/>
          <w:sz w:val="22"/>
        </w:rPr>
        <w:t xml:space="preserve"> </w:t>
      </w:r>
      <w:r w:rsidRPr="00C34317">
        <w:rPr>
          <w:rFonts w:ascii="Times New Roman" w:hAnsi="Times New Roman"/>
          <w:b/>
          <w:bCs/>
          <w:sz w:val="22"/>
        </w:rPr>
        <w:t>to estimate when the serving cell stops providing coverage at the present UE location.</w:t>
      </w:r>
    </w:p>
    <w:p w14:paraId="4D119913" w14:textId="5D731B62"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1A: Multiple stop serving times similar to </w:t>
      </w:r>
      <w:r w:rsidRPr="00C34317">
        <w:rPr>
          <w:i/>
          <w:iCs/>
          <w:sz w:val="22"/>
          <w:szCs w:val="22"/>
        </w:rPr>
        <w:t>t-Service</w:t>
      </w:r>
      <w:r w:rsidRPr="00C34317">
        <w:rPr>
          <w:sz w:val="22"/>
          <w:szCs w:val="22"/>
        </w:rPr>
        <w:t>.</w:t>
      </w:r>
    </w:p>
    <w:p w14:paraId="372A5AED" w14:textId="23EE71D8" w:rsidR="00954892" w:rsidRPr="00C34317" w:rsidRDefault="00954892" w:rsidP="00954892">
      <w:pPr>
        <w:pStyle w:val="a6"/>
        <w:numPr>
          <w:ilvl w:val="0"/>
          <w:numId w:val="15"/>
        </w:numPr>
        <w:spacing w:after="0"/>
        <w:ind w:firstLineChars="0"/>
        <w:rPr>
          <w:sz w:val="22"/>
          <w:szCs w:val="22"/>
        </w:rPr>
      </w:pPr>
      <w:r w:rsidRPr="00C34317">
        <w:rPr>
          <w:sz w:val="22"/>
          <w:szCs w:val="22"/>
        </w:rPr>
        <w:t xml:space="preserve">Option 1B: Multiple offsets to </w:t>
      </w:r>
      <w:r w:rsidRPr="00C34317">
        <w:rPr>
          <w:i/>
          <w:iCs/>
          <w:sz w:val="22"/>
          <w:szCs w:val="22"/>
        </w:rPr>
        <w:t>t-Service</w:t>
      </w:r>
      <w:r w:rsidRPr="00C34317">
        <w:rPr>
          <w:sz w:val="22"/>
          <w:szCs w:val="22"/>
        </w:rPr>
        <w:t xml:space="preserve">. </w:t>
      </w:r>
    </w:p>
    <w:p w14:paraId="6EEEF496" w14:textId="3BD0A388" w:rsidR="00954892" w:rsidRPr="00C34317" w:rsidRDefault="00954892" w:rsidP="00954892">
      <w:pPr>
        <w:pStyle w:val="a6"/>
        <w:numPr>
          <w:ilvl w:val="0"/>
          <w:numId w:val="15"/>
        </w:numPr>
        <w:spacing w:after="0"/>
        <w:ind w:firstLineChars="0"/>
        <w:rPr>
          <w:sz w:val="22"/>
          <w:szCs w:val="22"/>
        </w:rPr>
      </w:pPr>
      <w:r w:rsidRPr="00C34317">
        <w:rPr>
          <w:sz w:val="22"/>
          <w:szCs w:val="22"/>
        </w:rPr>
        <w:t>Option 1C: UE estimates stop serving time based on cell coverage information</w:t>
      </w:r>
      <w:r w:rsidR="00E43153" w:rsidRPr="00C34317">
        <w:rPr>
          <w:sz w:val="22"/>
          <w:szCs w:val="22"/>
        </w:rPr>
        <w:t>.</w:t>
      </w:r>
    </w:p>
    <w:p w14:paraId="602A0B10" w14:textId="4E1E728B" w:rsidR="00954892" w:rsidRPr="00C34317" w:rsidRDefault="00954892" w:rsidP="00954892">
      <w:pPr>
        <w:pStyle w:val="a6"/>
        <w:numPr>
          <w:ilvl w:val="0"/>
          <w:numId w:val="15"/>
        </w:numPr>
        <w:spacing w:after="0"/>
        <w:ind w:firstLineChars="0"/>
        <w:rPr>
          <w:sz w:val="22"/>
          <w:szCs w:val="22"/>
        </w:rPr>
      </w:pPr>
      <w:r w:rsidRPr="00C34317">
        <w:rPr>
          <w:sz w:val="22"/>
          <w:szCs w:val="22"/>
        </w:rPr>
        <w:t>Option 1D: A cell stop serving time threshold. UE considers the cell stop serving time as the time when the timing advance is larger than the threshold.</w:t>
      </w:r>
    </w:p>
    <w:p w14:paraId="0D180E7C" w14:textId="77777777" w:rsidR="00C34317" w:rsidRPr="00C34317" w:rsidRDefault="00C34317" w:rsidP="00C34317">
      <w:pPr>
        <w:rPr>
          <w:rFonts w:ascii="Times New Roman" w:eastAsiaTheme="minorEastAsia" w:hAnsi="Times New Roman"/>
          <w:b/>
          <w:bCs/>
          <w:sz w:val="22"/>
        </w:rPr>
      </w:pPr>
      <w:r w:rsidRPr="00C34317">
        <w:rPr>
          <w:rFonts w:ascii="Times New Roman" w:hAnsi="Times New Roman"/>
          <w:b/>
          <w:bCs/>
          <w:sz w:val="22"/>
        </w:rPr>
        <w:t xml:space="preserve">Proposal 2: For earth-moving cells, RAN2 to consider the above options to indicate the changing </w:t>
      </w:r>
      <w:r w:rsidRPr="00C34317">
        <w:rPr>
          <w:rFonts w:ascii="Times New Roman" w:eastAsiaTheme="minorEastAsia" w:hAnsi="Times New Roman"/>
          <w:b/>
          <w:bCs/>
          <w:i/>
          <w:iCs/>
          <w:sz w:val="22"/>
        </w:rPr>
        <w:t>referenceLocation</w:t>
      </w:r>
      <w:r w:rsidRPr="00C34317">
        <w:rPr>
          <w:rFonts w:ascii="Times New Roman" w:hAnsi="Times New Roman"/>
          <w:b/>
          <w:bCs/>
          <w:sz w:val="22"/>
        </w:rPr>
        <w:t xml:space="preserve"> efficiently.</w:t>
      </w:r>
    </w:p>
    <w:p w14:paraId="030BA04B" w14:textId="3990E7AD" w:rsidR="00E43153" w:rsidRPr="00C34317" w:rsidRDefault="00E43153" w:rsidP="00E43153">
      <w:pPr>
        <w:pStyle w:val="a6"/>
        <w:numPr>
          <w:ilvl w:val="0"/>
          <w:numId w:val="16"/>
        </w:numPr>
        <w:spacing w:after="0"/>
        <w:ind w:firstLineChars="0"/>
        <w:rPr>
          <w:sz w:val="22"/>
          <w:szCs w:val="22"/>
        </w:rPr>
      </w:pPr>
      <w:r w:rsidRPr="00C34317">
        <w:rPr>
          <w:sz w:val="22"/>
          <w:szCs w:val="22"/>
        </w:rPr>
        <w:t>Option 2A: Multiple reference locations.</w:t>
      </w:r>
    </w:p>
    <w:p w14:paraId="701114C4" w14:textId="3D569C9D" w:rsidR="00E43153" w:rsidRPr="00C34317" w:rsidRDefault="00E43153" w:rsidP="00E43153">
      <w:pPr>
        <w:pStyle w:val="a6"/>
        <w:numPr>
          <w:ilvl w:val="0"/>
          <w:numId w:val="16"/>
        </w:numPr>
        <w:spacing w:after="0"/>
        <w:ind w:firstLineChars="0"/>
        <w:rPr>
          <w:sz w:val="22"/>
          <w:szCs w:val="22"/>
        </w:rPr>
      </w:pPr>
      <w:r w:rsidRPr="00C34317">
        <w:rPr>
          <w:sz w:val="22"/>
          <w:szCs w:val="22"/>
        </w:rPr>
        <w:t xml:space="preserve">Option 2B: Multiple offsets to </w:t>
      </w:r>
      <w:r w:rsidRPr="00C34317">
        <w:rPr>
          <w:i/>
          <w:iCs/>
          <w:sz w:val="22"/>
          <w:szCs w:val="22"/>
        </w:rPr>
        <w:t>referenceLocation</w:t>
      </w:r>
      <w:r w:rsidRPr="00C34317">
        <w:rPr>
          <w:sz w:val="22"/>
          <w:szCs w:val="22"/>
        </w:rPr>
        <w:t>.</w:t>
      </w:r>
    </w:p>
    <w:p w14:paraId="5A5693E5" w14:textId="3EC3096E" w:rsidR="00E43153" w:rsidRPr="00C34317" w:rsidRDefault="00E43153" w:rsidP="00E43153">
      <w:pPr>
        <w:pStyle w:val="a6"/>
        <w:numPr>
          <w:ilvl w:val="0"/>
          <w:numId w:val="16"/>
        </w:numPr>
        <w:spacing w:after="0"/>
        <w:ind w:firstLineChars="0"/>
        <w:rPr>
          <w:sz w:val="22"/>
          <w:szCs w:val="22"/>
        </w:rPr>
      </w:pPr>
      <w:r w:rsidRPr="00C34317">
        <w:rPr>
          <w:sz w:val="22"/>
          <w:szCs w:val="22"/>
        </w:rPr>
        <w:t>Option 2C: UE estimates real-time reference location based on ephemeris.</w:t>
      </w:r>
    </w:p>
    <w:p w14:paraId="4674B04D" w14:textId="360DE2CE" w:rsidR="00E43153" w:rsidRPr="00C34317" w:rsidRDefault="00E43153" w:rsidP="00E43153">
      <w:pPr>
        <w:pStyle w:val="a6"/>
        <w:numPr>
          <w:ilvl w:val="0"/>
          <w:numId w:val="16"/>
        </w:numPr>
        <w:spacing w:after="0"/>
        <w:ind w:firstLineChars="0"/>
        <w:rPr>
          <w:sz w:val="22"/>
          <w:szCs w:val="22"/>
        </w:rPr>
      </w:pPr>
      <w:r w:rsidRPr="00C34317">
        <w:rPr>
          <w:sz w:val="22"/>
          <w:szCs w:val="22"/>
        </w:rPr>
        <w:t xml:space="preserve">Option 2D: UE estimates real-time reference location based on </w:t>
      </w:r>
      <w:r w:rsidRPr="00C34317">
        <w:rPr>
          <w:sz w:val="22"/>
          <w:szCs w:val="22"/>
          <w:lang w:eastAsia="zh-CN"/>
        </w:rPr>
        <w:t>the</w:t>
      </w:r>
      <w:r w:rsidRPr="00C34317">
        <w:rPr>
          <w:sz w:val="22"/>
          <w:szCs w:val="22"/>
        </w:rPr>
        <w:t xml:space="preserve"> change information (drift or velocity vector of </w:t>
      </w:r>
      <w:r w:rsidRPr="00C34317">
        <w:rPr>
          <w:i/>
          <w:iCs/>
          <w:sz w:val="22"/>
          <w:szCs w:val="22"/>
        </w:rPr>
        <w:t>referenceLocation</w:t>
      </w:r>
      <w:r w:rsidRPr="00C34317">
        <w:rPr>
          <w:sz w:val="22"/>
          <w:szCs w:val="22"/>
        </w:rPr>
        <w:t>).</w:t>
      </w:r>
    </w:p>
    <w:p w14:paraId="059C5A56" w14:textId="3663C711" w:rsidR="00E43153" w:rsidRPr="00C34317" w:rsidRDefault="00E43153" w:rsidP="00E43153">
      <w:pPr>
        <w:pStyle w:val="a6"/>
        <w:numPr>
          <w:ilvl w:val="0"/>
          <w:numId w:val="16"/>
        </w:numPr>
        <w:spacing w:after="0"/>
        <w:ind w:firstLineChars="0"/>
        <w:rPr>
          <w:sz w:val="22"/>
          <w:szCs w:val="22"/>
          <w:lang w:val="en-US"/>
        </w:rPr>
      </w:pPr>
      <w:r w:rsidRPr="00C34317">
        <w:rPr>
          <w:sz w:val="22"/>
          <w:szCs w:val="22"/>
        </w:rPr>
        <w:t xml:space="preserve">Option 2E: Set the </w:t>
      </w:r>
      <w:r w:rsidRPr="00C34317">
        <w:rPr>
          <w:i/>
          <w:iCs/>
          <w:sz w:val="22"/>
          <w:szCs w:val="22"/>
        </w:rPr>
        <w:t>referenceLocation</w:t>
      </w:r>
      <w:r w:rsidRPr="00C34317">
        <w:rPr>
          <w:sz w:val="22"/>
          <w:szCs w:val="22"/>
        </w:rPr>
        <w:t xml:space="preserve"> to the position of the satellite.</w:t>
      </w:r>
    </w:p>
    <w:p w14:paraId="3B884EE1" w14:textId="1DE1F07F" w:rsidR="00954892" w:rsidRPr="00C34317" w:rsidRDefault="00954892" w:rsidP="00C34317">
      <w:pPr>
        <w:rPr>
          <w:rFonts w:ascii="Times New Roman" w:hAnsi="Times New Roman"/>
          <w:b/>
          <w:bCs/>
          <w:sz w:val="22"/>
        </w:rPr>
      </w:pPr>
      <w:r w:rsidRPr="00C34317">
        <w:rPr>
          <w:rFonts w:ascii="Times New Roman" w:hAnsi="Times New Roman"/>
          <w:b/>
          <w:bCs/>
          <w:sz w:val="22"/>
        </w:rPr>
        <w:t>Proposal 3: For earth-moving cells, RAN2 to discuss how to indicate the feeder link switch time.</w:t>
      </w:r>
    </w:p>
    <w:sectPr w:rsidR="00954892" w:rsidRPr="00C343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1439" w14:textId="77777777" w:rsidR="002A01D2" w:rsidRDefault="002A01D2">
      <w:r>
        <w:separator/>
      </w:r>
    </w:p>
  </w:endnote>
  <w:endnote w:type="continuationSeparator" w:id="0">
    <w:p w14:paraId="731535E5" w14:textId="77777777" w:rsidR="002A01D2" w:rsidRDefault="002A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4CFD" w14:textId="77777777" w:rsidR="002A01D2" w:rsidRDefault="002A01D2">
      <w:r>
        <w:separator/>
      </w:r>
    </w:p>
  </w:footnote>
  <w:footnote w:type="continuationSeparator" w:id="0">
    <w:p w14:paraId="453D1A7E" w14:textId="77777777" w:rsidR="002A01D2" w:rsidRDefault="002A0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0"/>
  </w:num>
  <w:num w:numId="2" w16cid:durableId="1612277071">
    <w:abstractNumId w:val="0"/>
  </w:num>
  <w:num w:numId="3" w16cid:durableId="561672841">
    <w:abstractNumId w:val="14"/>
  </w:num>
  <w:num w:numId="4" w16cid:durableId="1866287463">
    <w:abstractNumId w:val="13"/>
  </w:num>
  <w:num w:numId="5" w16cid:durableId="1260945135">
    <w:abstractNumId w:val="3"/>
  </w:num>
  <w:num w:numId="6" w16cid:durableId="1888644407">
    <w:abstractNumId w:val="9"/>
  </w:num>
  <w:num w:numId="7" w16cid:durableId="1260606349">
    <w:abstractNumId w:val="6"/>
  </w:num>
  <w:num w:numId="8" w16cid:durableId="1821338711">
    <w:abstractNumId w:val="4"/>
  </w:num>
  <w:num w:numId="9" w16cid:durableId="623661057">
    <w:abstractNumId w:val="1"/>
  </w:num>
  <w:num w:numId="10" w16cid:durableId="1106923068">
    <w:abstractNumId w:val="2"/>
  </w:num>
  <w:num w:numId="11" w16cid:durableId="1096947345">
    <w:abstractNumId w:val="5"/>
  </w:num>
  <w:num w:numId="12" w16cid:durableId="1819030130">
    <w:abstractNumId w:val="7"/>
  </w:num>
  <w:num w:numId="13" w16cid:durableId="1950625549">
    <w:abstractNumId w:val="11"/>
  </w:num>
  <w:num w:numId="14" w16cid:durableId="1348672438">
    <w:abstractNumId w:val="8"/>
  </w:num>
  <w:num w:numId="15" w16cid:durableId="672343675">
    <w:abstractNumId w:val="12"/>
  </w:num>
  <w:num w:numId="16" w16cid:durableId="996113403">
    <w:abstractNumId w:val="16"/>
  </w:num>
  <w:num w:numId="17" w16cid:durableId="121688886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73"/>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4C5B"/>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1D2"/>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5A6"/>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546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6C1"/>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6F"/>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0C69"/>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317"/>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7FB"/>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7A"/>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3</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112</cp:revision>
  <cp:lastPrinted>2012-10-30T00:20:00Z</cp:lastPrinted>
  <dcterms:created xsi:type="dcterms:W3CDTF">2020-08-03T07:44:00Z</dcterms:created>
  <dcterms:modified xsi:type="dcterms:W3CDTF">2023-02-17T01:38:00Z</dcterms:modified>
</cp:coreProperties>
</file>